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2C" w:rsidRPr="001E542C" w:rsidRDefault="001E542C" w:rsidP="001E542C">
      <w:pPr>
        <w:pStyle w:val="a3"/>
        <w:rPr>
          <w:rFonts w:hAnsi="宋体" w:cs="宋体"/>
        </w:rPr>
      </w:pPr>
      <w:r w:rsidRPr="001E542C">
        <w:rPr>
          <w:rFonts w:hAnsi="宋体" w:cs="宋体" w:hint="eastAsia"/>
        </w:rPr>
        <w:t>一、当日主要新闻关注</w:t>
      </w:r>
    </w:p>
    <w:p w:rsidR="001E542C" w:rsidRPr="001E542C" w:rsidRDefault="001E542C" w:rsidP="001E542C">
      <w:pPr>
        <w:pStyle w:val="a3"/>
        <w:rPr>
          <w:rFonts w:hAnsi="宋体" w:cs="宋体"/>
        </w:rPr>
      </w:pPr>
      <w:r w:rsidRPr="001E542C">
        <w:rPr>
          <w:rFonts w:hAnsi="宋体" w:cs="宋体" w:hint="eastAsia"/>
        </w:rPr>
        <w:t>1）国际新闻</w:t>
      </w:r>
    </w:p>
    <w:p w:rsidR="001E542C" w:rsidRPr="001E542C" w:rsidRDefault="00474D2B" w:rsidP="001E542C">
      <w:pPr>
        <w:pStyle w:val="a3"/>
        <w:rPr>
          <w:rFonts w:hAnsi="宋体" w:cs="宋体"/>
        </w:rPr>
      </w:pPr>
      <w:r w:rsidRPr="00474D2B">
        <w:rPr>
          <w:rFonts w:hAnsi="宋体" w:cs="宋体" w:hint="eastAsia"/>
        </w:rPr>
        <w:t>美国总统拜登会见多家大企业高管，讨论严重伤害美国汽车行业的全球芯片短缺问题。拜登表示，500亿美元芯片支持计划获得两党立法支持。</w:t>
      </w:r>
    </w:p>
    <w:p w:rsidR="001E542C" w:rsidRPr="001E542C" w:rsidRDefault="001E542C" w:rsidP="001E542C">
      <w:pPr>
        <w:pStyle w:val="a3"/>
        <w:rPr>
          <w:rFonts w:hAnsi="宋体" w:cs="宋体"/>
        </w:rPr>
      </w:pPr>
      <w:r w:rsidRPr="001E542C">
        <w:rPr>
          <w:rFonts w:hAnsi="宋体" w:cs="宋体" w:hint="eastAsia"/>
        </w:rPr>
        <w:t>2）国内新闻</w:t>
      </w:r>
    </w:p>
    <w:p w:rsidR="001E542C" w:rsidRPr="001E542C" w:rsidRDefault="00474D2B" w:rsidP="001E542C">
      <w:pPr>
        <w:pStyle w:val="a3"/>
        <w:rPr>
          <w:rFonts w:hAnsi="宋体" w:cs="宋体"/>
        </w:rPr>
      </w:pPr>
      <w:r w:rsidRPr="00474D2B">
        <w:rPr>
          <w:rFonts w:hAnsi="宋体" w:cs="宋体" w:hint="eastAsia"/>
        </w:rPr>
        <w:t>中国一季度外贸进出口实现“开门红”，当季货物贸易进出口总值8.47万亿元，同比增长29.2%。其中，出口4.61万亿元，增长38.7%；进口3.86万亿元，增长19.3%；贸易顺差7592.9亿元，扩大690.6%。海关总署表示，我国外贸已连续三个季度保持同比正增长，未来一段时间这一趋势有望维持。</w:t>
      </w:r>
    </w:p>
    <w:p w:rsidR="001E542C" w:rsidRPr="001E542C" w:rsidRDefault="001E542C" w:rsidP="001E542C">
      <w:pPr>
        <w:pStyle w:val="a3"/>
        <w:rPr>
          <w:rFonts w:hAnsi="宋体" w:cs="宋体"/>
        </w:rPr>
      </w:pPr>
      <w:r w:rsidRPr="001E542C">
        <w:rPr>
          <w:rFonts w:hAnsi="宋体" w:cs="宋体" w:hint="eastAsia"/>
        </w:rPr>
        <w:t>3）行业新闻</w:t>
      </w:r>
    </w:p>
    <w:p w:rsidR="001E542C" w:rsidRPr="001E542C" w:rsidRDefault="00E90208" w:rsidP="001E542C">
      <w:pPr>
        <w:pStyle w:val="a3"/>
        <w:rPr>
          <w:rFonts w:hAnsi="宋体" w:cs="宋体"/>
        </w:rPr>
      </w:pPr>
      <w:r w:rsidRPr="00E90208">
        <w:rPr>
          <w:rFonts w:hAnsi="宋体" w:cs="宋体" w:hint="eastAsia"/>
        </w:rPr>
        <w:t>三部委发布《2021-2030年支持新型显示产业发展进口税收政策》，对新型显示器件生产企业进口国内不能生产或性能不能满足需求的自用生产性原材料、消耗品和净化室配套系统、生产设备（包括进口设备和国产设备）零配件，免征进口关税。</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二、主要品种早盘评论</w:t>
      </w:r>
    </w:p>
    <w:p w:rsidR="001E542C" w:rsidRPr="001E542C" w:rsidRDefault="001E542C" w:rsidP="001E542C">
      <w:pPr>
        <w:pStyle w:val="a3"/>
        <w:rPr>
          <w:rFonts w:hAnsi="宋体" w:cs="宋体"/>
        </w:rPr>
      </w:pPr>
      <w:r w:rsidRPr="001E542C">
        <w:rPr>
          <w:rFonts w:hAnsi="宋体" w:cs="宋体" w:hint="eastAsia"/>
        </w:rPr>
        <w:t>1）金融</w:t>
      </w:r>
    </w:p>
    <w:p w:rsidR="001E542C" w:rsidRPr="001E542C" w:rsidRDefault="001E542C" w:rsidP="001E542C">
      <w:pPr>
        <w:pStyle w:val="a3"/>
        <w:rPr>
          <w:rFonts w:hAnsi="宋体" w:cs="宋体"/>
        </w:rPr>
      </w:pPr>
      <w:r w:rsidRPr="001E542C">
        <w:rPr>
          <w:rFonts w:hAnsi="宋体" w:cs="宋体" w:hint="eastAsia"/>
        </w:rPr>
        <w:t>【股指】</w:t>
      </w:r>
    </w:p>
    <w:p w:rsidR="001E542C" w:rsidRPr="001E542C" w:rsidRDefault="00071554" w:rsidP="001E542C">
      <w:pPr>
        <w:pStyle w:val="a3"/>
        <w:rPr>
          <w:rFonts w:hAnsi="宋体" w:cs="宋体"/>
        </w:rPr>
      </w:pPr>
      <w:r w:rsidRPr="00071554">
        <w:rPr>
          <w:rFonts w:hAnsi="宋体" w:cs="宋体" w:hint="eastAsia"/>
        </w:rPr>
        <w:t>股指：美股涨跌不一，纳斯达克涨幅较大带动A50和恒指夜盘上涨，上一交易日A股冲高回落，消费股和周期股均出现回调，两市成交额约6600亿，资金方面北向资金净流入84.71亿元，04月12日融资余额减少8.88亿元至15139.60亿元。3月12日公布的社融数据预示流动性拐点已经到来，二季度经济增长动能持续，房地产投资等向好带动PPI快速上行，但终端消费依然疲软使得CPI未出现明显上涨，当前市场担忧通胀来临会提前结束宽松政策环境。A股短期依然以震荡寻底为主，技术上看走势较弱，以偏空为主，操作上建议先观望。</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【国债】</w:t>
      </w:r>
    </w:p>
    <w:p w:rsidR="001E542C" w:rsidRPr="001E542C" w:rsidRDefault="00071554" w:rsidP="001E542C">
      <w:pPr>
        <w:pStyle w:val="a3"/>
        <w:rPr>
          <w:rFonts w:hAnsi="宋体" w:cs="宋体"/>
        </w:rPr>
      </w:pPr>
      <w:r w:rsidRPr="00071554">
        <w:rPr>
          <w:rFonts w:hAnsi="宋体" w:cs="宋体" w:hint="eastAsia"/>
        </w:rPr>
        <w:t>国债：价格继续上涨，10年期国债收益率下行2.79bp至3.17%。为维护银行体系流动性合理充裕，央行继续开展逆回购操作，资金面宽松，Shibor短端品种多数下行。3月份金融数据低于预期，主要是短期贷款和债券融资显著低于去年同期，中长期贷款继续多增，融资结构不断优化。3月出口同比增长30.6%，低于市场预期，进口进一步回升，贸易顺差收窄，海外生产逐步恢复。当前海外疫情有所分化，疫苗接种继续进行，美国3月CPI创近九年来最大升幅，IMF上调全球增长率预期。中美利差收窄后3月份境外机构开始减持中国债券，加上政府债券大量发行，预计国债期货价格反弹空间有限，操作上建议暂时观望。</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2）能化</w:t>
      </w:r>
    </w:p>
    <w:p w:rsidR="001E542C" w:rsidRPr="001E542C" w:rsidRDefault="001E542C" w:rsidP="001E542C">
      <w:pPr>
        <w:pStyle w:val="a3"/>
        <w:rPr>
          <w:rFonts w:hAnsi="宋体" w:cs="宋体"/>
        </w:rPr>
      </w:pPr>
      <w:r w:rsidRPr="001E542C">
        <w:rPr>
          <w:rFonts w:hAnsi="宋体" w:cs="宋体" w:hint="eastAsia"/>
        </w:rPr>
        <w:t>【原油】</w:t>
      </w:r>
    </w:p>
    <w:p w:rsidR="001E542C" w:rsidRDefault="00071554" w:rsidP="001E542C">
      <w:pPr>
        <w:pStyle w:val="a3"/>
        <w:rPr>
          <w:rFonts w:hAnsi="宋体" w:cs="宋体"/>
        </w:rPr>
      </w:pPr>
      <w:r w:rsidRPr="00071554">
        <w:rPr>
          <w:rFonts w:hAnsi="宋体" w:cs="宋体" w:hint="eastAsia"/>
        </w:rPr>
        <w:t>原油：原油上涨0.18%。美国在线钻探油气井数量继续增加意味着未来几个月美国原油产量可能增长。贝克休斯公布的数据显示，截止4月1日的一周，美国在线钻探油井数量337座，比前周增加13座。欧佩克及其减产同盟国意外逐步增加原油产量，尽管增加数量不大，但是在需求趋势高度不确定的情况下，仍然存在供应过剩风险。此外，美国与伊朗关系也不确定，一旦美国取消对伊朗制裁，全球石油市场将增加百万左右的原油供应量。欧洲疫苗接种缓慢，对疫苗接种谨慎加剧了对疫情难以控制的担忧，能源需求前景存在很大的不确定性。因担忧可能出现的血栓风险，欧洲一些国家要求对部分人群谨慎使用阿斯利康疫苗。</w:t>
      </w:r>
    </w:p>
    <w:p w:rsidR="00FE2E95" w:rsidRPr="00FE2E95" w:rsidRDefault="00FE2E95"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【甲醇】</w:t>
      </w:r>
    </w:p>
    <w:p w:rsidR="001E542C" w:rsidRPr="001E542C" w:rsidRDefault="00071554" w:rsidP="001E542C">
      <w:pPr>
        <w:pStyle w:val="a3"/>
        <w:rPr>
          <w:rFonts w:hAnsi="宋体" w:cs="宋体"/>
        </w:rPr>
      </w:pPr>
      <w:r w:rsidRPr="00071554">
        <w:rPr>
          <w:rFonts w:hAnsi="宋体" w:cs="宋体" w:hint="eastAsia"/>
        </w:rPr>
        <w:lastRenderedPageBreak/>
        <w:t>甲醇：上涨1.31%。整体来看沿海地区（江苏、浙江和华南地区）甲醇库存在79.75万吨，环比上周下降4.5万吨，降幅在1.63%，同比下降25.50%。整体沿海地区甲醇可流通货源预估在18.4万吨附近。据卓创资讯不完全统计，预计4月9日到4月25日沿海地区预计到港在74.48万-75万吨 。本周国内煤（甲醇）制烯烃装置平均开工负荷在89.16%，与上周持平。本周期内国内CTO/MTO装置整体负荷波动不大。醋酸本周受部分装置重临时停车的影响，导致总开工负荷下滑。截至4月8日，国内甲醇整体装置开工负荷为72.13%,上涨0.11个百分点，较去年同期上涨4.1个百分点。</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【聚烯烃】</w:t>
      </w:r>
    </w:p>
    <w:p w:rsidR="001E542C" w:rsidRDefault="008366A5" w:rsidP="001E542C">
      <w:pPr>
        <w:pStyle w:val="a3"/>
        <w:rPr>
          <w:rFonts w:hAnsi="宋体" w:cs="宋体"/>
        </w:rPr>
      </w:pPr>
      <w:r w:rsidRPr="008366A5">
        <w:rPr>
          <w:rFonts w:hAnsi="宋体" w:cs="宋体" w:hint="eastAsia"/>
        </w:rPr>
        <w:t>聚烯烃：线性LL，中石化部分地区价格下调100，中石油部分地区价格下调100不等。煤化工通达源8300，成交不佳。拉丝PP，中石化部分地区下调50-150，中石油价格下调50-100。煤化工通达源8600，成交不佳。两油石化早库92.5万，和昨日下降1万吨。昨日聚烯烃现货成交下降，5月合约期货延续回落。整体而言聚烯烃仍处于近月去库周期，短期弱势或延续</w:t>
      </w:r>
    </w:p>
    <w:p w:rsidR="00742FAB" w:rsidRDefault="00742FAB" w:rsidP="001E542C">
      <w:pPr>
        <w:pStyle w:val="a3"/>
        <w:rPr>
          <w:rFonts w:hAnsi="宋体" w:cs="宋体"/>
        </w:rPr>
      </w:pPr>
    </w:p>
    <w:p w:rsidR="001E542C" w:rsidRPr="001E542C" w:rsidRDefault="00C8470C" w:rsidP="001E542C">
      <w:pPr>
        <w:pStyle w:val="a3"/>
        <w:rPr>
          <w:rFonts w:hAnsi="宋体" w:cs="宋体"/>
        </w:rPr>
      </w:pPr>
      <w:r>
        <w:rPr>
          <w:rFonts w:hAnsi="宋体" w:cs="宋体" w:hint="eastAsia"/>
        </w:rPr>
        <w:t>3</w:t>
      </w:r>
      <w:r w:rsidR="001E542C" w:rsidRPr="001E542C">
        <w:rPr>
          <w:rFonts w:hAnsi="宋体" w:cs="宋体" w:hint="eastAsia"/>
        </w:rPr>
        <w:t>）金属</w:t>
      </w:r>
    </w:p>
    <w:p w:rsidR="001E542C" w:rsidRPr="001E542C" w:rsidRDefault="001E542C" w:rsidP="001E542C">
      <w:pPr>
        <w:pStyle w:val="a3"/>
        <w:rPr>
          <w:rFonts w:hAnsi="宋体" w:cs="宋体"/>
        </w:rPr>
      </w:pPr>
      <w:r w:rsidRPr="001E542C">
        <w:rPr>
          <w:rFonts w:hAnsi="宋体" w:cs="宋体" w:hint="eastAsia"/>
        </w:rPr>
        <w:t>【贵金属】</w:t>
      </w:r>
    </w:p>
    <w:p w:rsidR="001E542C" w:rsidRPr="001E542C" w:rsidRDefault="008366A5" w:rsidP="001E542C">
      <w:pPr>
        <w:pStyle w:val="a3"/>
        <w:rPr>
          <w:rFonts w:hAnsi="宋体" w:cs="宋体"/>
        </w:rPr>
      </w:pPr>
      <w:r w:rsidRPr="008366A5">
        <w:rPr>
          <w:rFonts w:hAnsi="宋体" w:cs="宋体" w:hint="eastAsia"/>
        </w:rPr>
        <w:t>贵金属：美国食品和药物管理局(FDA)表示，在报告出现血栓病例后，建议暂停使用强生新冠疫苗。昨日公布的美国CPI跃升0.6%，为2012年8月以来的最大涨幅，不过由于此前鲍威尔已经表态短期通胀上行不会影响美国当前的宽松货币政策，美元和美债收益出现回落，金银再度反弹。目前美国经济复苏和财政刺激抬升美国内部通胀预期，叠加疫苗接种加速和新财政刺激对经济的支撑作用，美债长端利率仍有上行空间，同时对美联储政策转向的可能使得金银上方仍有压力，未出现美国经济表现再度恶化的情况下金银上行空间有限，短期转为震荡走弱。关注周三周四美联储官员的发言。</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【铜】</w:t>
      </w:r>
    </w:p>
    <w:p w:rsidR="001E542C" w:rsidRPr="001E542C" w:rsidRDefault="008366A5" w:rsidP="001E542C">
      <w:pPr>
        <w:pStyle w:val="a3"/>
        <w:rPr>
          <w:rFonts w:hAnsi="宋体" w:cs="宋体"/>
        </w:rPr>
      </w:pPr>
      <w:r w:rsidRPr="008366A5">
        <w:rPr>
          <w:rFonts w:hAnsi="宋体" w:cs="宋体" w:hint="eastAsia"/>
        </w:rPr>
        <w:t>铜：夜盘铜价小幅上涨，受美元回落支撑。近日国家关注大宗商品价格的措辞受到市场关注。铜市仍受精矿紧张和预期供应缺口支撑，目前国内精矿加工费缩窄至35美元下方。由于前期上涨幅度较大，近来铜杆开工率明显下降，并受到全球库存明显回升的压力。短期铜价可能延续区间波动，建议关注下游开工情况、库存及现货状况。</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【锌】</w:t>
      </w:r>
    </w:p>
    <w:p w:rsidR="001E542C" w:rsidRPr="001E542C" w:rsidRDefault="008366A5" w:rsidP="001E542C">
      <w:pPr>
        <w:pStyle w:val="a3"/>
        <w:rPr>
          <w:rFonts w:hAnsi="宋体" w:cs="宋体"/>
        </w:rPr>
      </w:pPr>
      <w:r w:rsidRPr="008366A5">
        <w:rPr>
          <w:rFonts w:hAnsi="宋体" w:cs="宋体" w:hint="eastAsia"/>
        </w:rPr>
        <w:t>锌：夜盘锌价小幅上涨，跟随有色整体走势。据安泰科的数据，三月份锌产量同比增加7%，环比基本持平，日均产量明显下降。目前精矿加工费已缩窄至4000元左右，静态计算达到冶炼企业生产成本，前期锌价快速上涨已使得冶炼利润明显改善，并限制锌价下方空间。前期锌价受到镀锌库存较高制约。短期锌价可能延续区间波动，建议关注其它有色品种走势对锌价的影响、库存、现货升贴水及冶炼开工情况。</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【铝】</w:t>
      </w:r>
    </w:p>
    <w:p w:rsidR="001E542C" w:rsidRPr="001E542C" w:rsidRDefault="008366A5" w:rsidP="001E542C">
      <w:pPr>
        <w:pStyle w:val="a3"/>
        <w:rPr>
          <w:rFonts w:hAnsi="宋体" w:cs="宋体"/>
        </w:rPr>
      </w:pPr>
      <w:r w:rsidRPr="008366A5">
        <w:rPr>
          <w:rFonts w:hAnsi="宋体" w:cs="宋体" w:hint="eastAsia"/>
        </w:rPr>
        <w:t>铝：铝价夜盘上涨。基本面方面，本周国内社会库存较前一周减少2.5万吨至120.8万吨，整体延续节后回落的趋势，短期铝锭库存或继续下行。铝价高位盘整，前期上涨过快铝价存在一定回调风险，但中长期基本面强势同样支撑价格。操作上建议逢低买入。</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【镍】</w:t>
      </w:r>
    </w:p>
    <w:p w:rsidR="001E542C" w:rsidRPr="001E542C" w:rsidRDefault="008366A5" w:rsidP="001E542C">
      <w:pPr>
        <w:pStyle w:val="a3"/>
        <w:rPr>
          <w:rFonts w:hAnsi="宋体" w:cs="宋体"/>
        </w:rPr>
      </w:pPr>
      <w:r w:rsidRPr="008366A5">
        <w:rPr>
          <w:rFonts w:hAnsi="宋体" w:cs="宋体" w:hint="eastAsia"/>
        </w:rPr>
        <w:lastRenderedPageBreak/>
        <w:t>镍：镍价夜盘小幅回落。前期市场报道青山将于十月开始向下游供应镍铁制高冰镍，市场担忧会影响硫酸镍价格，进一步影响镍豆的价格。从实际情况看，镍铁制高冰镍势必对电解镍下游造成挤压，打压镍铁和纯镍价差。基本面方面，中期来看镍矿供应存在较大收缩，未来菲律宾矿山发货逐步增加，二季度后供应预计增加，镍铁价格承压。但短期纯镍供应偏紧不改，预计价格在目前下行趋势后将反弹。</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【不锈钢】</w:t>
      </w:r>
    </w:p>
    <w:p w:rsidR="001E542C" w:rsidRPr="001E542C" w:rsidRDefault="008366A5" w:rsidP="001E542C">
      <w:pPr>
        <w:pStyle w:val="a3"/>
        <w:rPr>
          <w:rFonts w:hAnsi="宋体" w:cs="宋体"/>
        </w:rPr>
      </w:pPr>
      <w:r w:rsidRPr="008366A5">
        <w:rPr>
          <w:rFonts w:hAnsi="宋体" w:cs="宋体" w:hint="eastAsia"/>
        </w:rPr>
        <w:t>不锈钢：不锈钢价格震荡。现货方面，不锈钢现货市场成交表现一般，未有预期中的补货氛围，现货仍以稳价出货为主。近期不锈钢供需平稳，未来呈现增长趋势。基本面方面，目前下游消费逐步恢复，不锈钢库存有回落迹象。短期不锈钢利润较高，上行趋势不强，但下方支撑明显，走势预计震荡。中期看不锈钢供需不存在明显缺口，走势预计震荡为主。</w:t>
      </w:r>
    </w:p>
    <w:p w:rsidR="001E542C" w:rsidRPr="001E542C" w:rsidRDefault="001E542C" w:rsidP="001E542C">
      <w:pPr>
        <w:pStyle w:val="a3"/>
        <w:rPr>
          <w:rFonts w:hAnsi="宋体" w:cs="宋体"/>
        </w:rPr>
      </w:pPr>
    </w:p>
    <w:p w:rsidR="001E542C" w:rsidRPr="001E542C" w:rsidRDefault="00C8470C" w:rsidP="001E542C">
      <w:pPr>
        <w:pStyle w:val="a3"/>
        <w:rPr>
          <w:rFonts w:hAnsi="宋体" w:cs="宋体"/>
        </w:rPr>
      </w:pPr>
      <w:r>
        <w:rPr>
          <w:rFonts w:hAnsi="宋体" w:cs="宋体" w:hint="eastAsia"/>
        </w:rPr>
        <w:t>4</w:t>
      </w:r>
      <w:bookmarkStart w:id="0" w:name="_GoBack"/>
      <w:bookmarkEnd w:id="0"/>
      <w:r w:rsidR="001E542C" w:rsidRPr="001E542C">
        <w:rPr>
          <w:rFonts w:hAnsi="宋体" w:cs="宋体" w:hint="eastAsia"/>
        </w:rPr>
        <w:t>）农产品</w:t>
      </w:r>
    </w:p>
    <w:p w:rsidR="001E542C" w:rsidRPr="001E542C" w:rsidRDefault="001E542C" w:rsidP="001E542C">
      <w:pPr>
        <w:pStyle w:val="a3"/>
        <w:rPr>
          <w:rFonts w:hAnsi="宋体" w:cs="宋体"/>
        </w:rPr>
      </w:pPr>
      <w:r w:rsidRPr="001E542C">
        <w:rPr>
          <w:rFonts w:hAnsi="宋体" w:cs="宋体" w:hint="eastAsia"/>
        </w:rPr>
        <w:t>【白糖】</w:t>
      </w:r>
    </w:p>
    <w:p w:rsidR="001E542C" w:rsidRPr="001E542C" w:rsidRDefault="001E542C" w:rsidP="001E542C">
      <w:pPr>
        <w:pStyle w:val="a3"/>
        <w:rPr>
          <w:rFonts w:hAnsi="宋体" w:cs="宋体"/>
        </w:rPr>
      </w:pPr>
      <w:r w:rsidRPr="001E542C">
        <w:rPr>
          <w:rFonts w:hAnsi="宋体" w:cs="宋体" w:hint="eastAsia"/>
        </w:rPr>
        <w:t>白糖：</w:t>
      </w:r>
      <w:r w:rsidR="00B74BD8" w:rsidRPr="00B74BD8">
        <w:rPr>
          <w:rFonts w:hAnsi="宋体" w:cs="宋体" w:hint="eastAsia"/>
        </w:rPr>
        <w:t>巴西中南部2020/21榨季正式落下帷幕。中南部最终产糖3846.5万吨，同比增加43.73%。国际方面前期印度出口签约大量增加缓解了目前全球糖供应紧张的局面，而原糖15美分/磅附近存在印度出口成本的强支撑。后期市场将更多关注巴西21/22榨季的开榨情况。国内糖盘面总体则跟随国际糖价波动，现货则更为坚挺。操作上，短期国内跟随原糖波动下方同时还受基差支撑，另外要注意宏观金融市场动荡的影响。我们可以看到海南自贸港贸易“新政”提到在特定区域放宽原油、成品油、食糖等商品进出口的资质和数量管理，取消自动进口许可和机电进口许可管理的措施。但在进口成本支撑以及海南缺乏炼糖厂的背景下白糖期货下方空间有限，适合在盘面回调后买入并在上涨后止盈，09合约参考区间在5300-5600，目前5300以下的糖价初具投资价值；长期全球糖继续处于去库存状态，远期白糖多单可继续持有。</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【油脂】</w:t>
      </w:r>
    </w:p>
    <w:p w:rsidR="001E542C" w:rsidRPr="001E542C" w:rsidRDefault="00ED3016" w:rsidP="001E542C">
      <w:pPr>
        <w:pStyle w:val="a3"/>
        <w:rPr>
          <w:rFonts w:hAnsi="宋体" w:cs="宋体"/>
        </w:rPr>
      </w:pPr>
      <w:r w:rsidRPr="00ED3016">
        <w:rPr>
          <w:rFonts w:hAnsi="宋体" w:cs="宋体" w:hint="eastAsia"/>
        </w:rPr>
        <w:t>油脂:国内豆油Y2109收盘于8076，涨幅1.69%，棕榈油P2109收盘于6828，涨幅1.79%。菜油OI2109收盘于10317，涨幅1.34%。国内一级豆油现货基差持稳，天津05+580，山东05+580，江苏05+700，广东05+600。24°棕榈油现货基差走弱，天津05+360，华东05+200，广东05+180。因为2月降雨偏多、假期多，马来西亚棕榈油产量恢复在3月有所体现，但是本次报告中进口数量略高于预期，库存增幅超预期，后续关注4月产量和出口状况。虽然南美今年1.835亿吨产量创下历史新高，国内进口大豆集中到港在5月附近，但是目前国内豆粕需求会导致大豆压榨问题，此外国内大豆盘面压榨亏损较多，7月后买船不多。预计油脂盘面以宽幅震荡为主，前期菜豆油09做扩的可适量减仓。</w:t>
      </w:r>
    </w:p>
    <w:p w:rsidR="001E542C" w:rsidRPr="001E542C" w:rsidRDefault="001E542C" w:rsidP="001E542C">
      <w:pPr>
        <w:pStyle w:val="a3"/>
        <w:rPr>
          <w:rFonts w:hAnsi="宋体" w:cs="宋体"/>
        </w:rPr>
      </w:pPr>
    </w:p>
    <w:p w:rsidR="001E542C" w:rsidRPr="001E542C" w:rsidRDefault="002138A2" w:rsidP="001E542C">
      <w:pPr>
        <w:pStyle w:val="a3"/>
        <w:rPr>
          <w:rFonts w:hAnsi="宋体" w:cs="宋体"/>
        </w:rPr>
      </w:pPr>
      <w:r>
        <w:rPr>
          <w:rFonts w:hAnsi="宋体" w:cs="宋体" w:hint="eastAsia"/>
        </w:rPr>
        <w:t>【豆粕</w:t>
      </w:r>
      <w:r w:rsidR="001E542C" w:rsidRPr="001E542C">
        <w:rPr>
          <w:rFonts w:hAnsi="宋体" w:cs="宋体" w:hint="eastAsia"/>
        </w:rPr>
        <w:t>】</w:t>
      </w:r>
    </w:p>
    <w:p w:rsidR="001E542C" w:rsidRPr="001E542C" w:rsidRDefault="00ED3016" w:rsidP="001E542C">
      <w:pPr>
        <w:pStyle w:val="a3"/>
        <w:rPr>
          <w:rFonts w:hAnsi="宋体" w:cs="宋体"/>
        </w:rPr>
      </w:pPr>
      <w:r w:rsidRPr="00ED3016">
        <w:rPr>
          <w:rFonts w:hAnsi="宋体" w:cs="宋体" w:hint="eastAsia"/>
        </w:rPr>
        <w:t>豆粕: 4月13日(星期二)CBOT大豆收盘上涨。07月大豆收1384.50美分/蒲式耳，涨幅0.40%。M2109收盘于3442，跌幅1.60%。国内豆粕现货基差继续反弹，山东05-50，江苏05-60，广东05-60。USDA4月报告对大豆市场影响中性略偏空，巴西和阿根廷20/21年度产量增加至1.835亿吨，产量历史新高，中国国内大豆盘面压榨亏损，买船进度放慢，虽然美豆新作种植面积低于市场预估，新作供应暂时偏紧，在阿根廷收获期及北美种植期出现天气等问题前，美豆主力维持之前1350-1400美分/蒲式耳区间运行判断。受国内豆粕胀库及部分企业短豆问题，周度压榨量较低，国内豆粕库存减少至72.55万吨，然后周度豆粕表观消费不及上上周，豆粕需求未见好转。本周及下周预计压榨量为158、170万吨，在国内豆粕供应逐渐增加，需求未见好转情况下，月差反弹后仍看空，单边在3300-3400区间做多09。</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联系人：唐广华</w:t>
      </w:r>
    </w:p>
    <w:p w:rsidR="001E542C" w:rsidRPr="001E542C" w:rsidRDefault="001E542C" w:rsidP="001E542C">
      <w:pPr>
        <w:pStyle w:val="a3"/>
        <w:rPr>
          <w:rFonts w:hAnsi="宋体" w:cs="宋体"/>
        </w:rPr>
      </w:pPr>
      <w:r w:rsidRPr="001E542C">
        <w:rPr>
          <w:rFonts w:hAnsi="宋体" w:cs="宋体" w:hint="eastAsia"/>
        </w:rPr>
        <w:t>从业资格号：F3010997</w:t>
      </w:r>
    </w:p>
    <w:p w:rsidR="001E542C" w:rsidRPr="001E542C" w:rsidRDefault="001E542C" w:rsidP="001E542C">
      <w:pPr>
        <w:pStyle w:val="a3"/>
        <w:rPr>
          <w:rFonts w:hAnsi="宋体" w:cs="宋体"/>
        </w:rPr>
      </w:pPr>
      <w:r w:rsidRPr="001E542C">
        <w:rPr>
          <w:rFonts w:hAnsi="宋体" w:cs="宋体" w:hint="eastAsia"/>
        </w:rPr>
        <w:t>投资咨询号：Z0011162</w:t>
      </w:r>
    </w:p>
    <w:p w:rsidR="001E542C" w:rsidRPr="001E542C" w:rsidRDefault="001E542C" w:rsidP="001E542C">
      <w:pPr>
        <w:pStyle w:val="a3"/>
        <w:rPr>
          <w:rFonts w:hAnsi="宋体" w:cs="宋体"/>
        </w:rPr>
      </w:pPr>
      <w:r w:rsidRPr="001E542C">
        <w:rPr>
          <w:rFonts w:hAnsi="宋体" w:cs="宋体" w:hint="eastAsia"/>
        </w:rPr>
        <w:t>联系电话：021-50586292</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地址：上海东方路800 号宝安大厦10楼</w:t>
      </w:r>
    </w:p>
    <w:p w:rsidR="001E542C" w:rsidRPr="001E542C" w:rsidRDefault="001E542C" w:rsidP="001E542C">
      <w:pPr>
        <w:pStyle w:val="a3"/>
        <w:rPr>
          <w:rFonts w:hAnsi="宋体" w:cs="宋体"/>
        </w:rPr>
      </w:pPr>
      <w:r w:rsidRPr="001E542C">
        <w:rPr>
          <w:rFonts w:hAnsi="宋体" w:cs="宋体" w:hint="eastAsia"/>
        </w:rPr>
        <w:t>邮编：200122</w:t>
      </w:r>
    </w:p>
    <w:p w:rsidR="001E542C" w:rsidRPr="001E542C" w:rsidRDefault="001E542C" w:rsidP="001E542C">
      <w:pPr>
        <w:pStyle w:val="a3"/>
        <w:rPr>
          <w:rFonts w:hAnsi="宋体" w:cs="宋体"/>
        </w:rPr>
      </w:pPr>
      <w:r w:rsidRPr="001E542C">
        <w:rPr>
          <w:rFonts w:hAnsi="宋体" w:cs="宋体" w:hint="eastAsia"/>
        </w:rPr>
        <w:t>传真：021 5058 8822</w:t>
      </w:r>
    </w:p>
    <w:p w:rsidR="001E542C" w:rsidRPr="001E542C" w:rsidRDefault="001E542C" w:rsidP="001E542C">
      <w:pPr>
        <w:pStyle w:val="a3"/>
        <w:rPr>
          <w:rFonts w:hAnsi="宋体" w:cs="宋体"/>
        </w:rPr>
      </w:pPr>
      <w:r w:rsidRPr="001E542C">
        <w:rPr>
          <w:rFonts w:hAnsi="宋体" w:cs="宋体" w:hint="eastAsia"/>
        </w:rPr>
        <w:t>网址：www.sywgqh.com.cn</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申银万国期货研究所</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免责声明</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本报告的信息均资料来源于公开资料，本公司对这些信息的准确性和完整性不作任何保证，也不保证所包含的信息和建议不会发生任何变更。我们力求报告内容的客观、公正，但文中的观点、结论和建议仅供参考，报告中的信息或意见并不构成所述品种的买卖出价，投资者据此做出的任何投资决策与本公司无关。</w:t>
      </w:r>
    </w:p>
    <w:p w:rsidR="001E542C" w:rsidRPr="001E542C" w:rsidRDefault="001E542C" w:rsidP="001E542C">
      <w:pPr>
        <w:pStyle w:val="a3"/>
        <w:rPr>
          <w:rFonts w:hAnsi="宋体" w:cs="宋体"/>
        </w:rPr>
      </w:pPr>
      <w:r w:rsidRPr="001E542C">
        <w:rPr>
          <w:rFonts w:hAnsi="宋体" w:cs="宋体" w:hint="eastAsia"/>
        </w:rPr>
        <w:t>本报告所涵括的信息仅供交流研讨，投资者应合理合法使用本报告所提供的信息、建议，不得用于未经允许的其他任何用途。如因投资者将本报告所提供的信息、建议用于非法目的，所产生的一切经济、法律责任均与本公司无关。</w:t>
      </w:r>
    </w:p>
    <w:p w:rsidR="001E542C" w:rsidRPr="001E542C" w:rsidRDefault="001E542C" w:rsidP="001E542C">
      <w:pPr>
        <w:pStyle w:val="a3"/>
        <w:rPr>
          <w:rFonts w:hAnsi="宋体" w:cs="宋体"/>
        </w:rPr>
      </w:pPr>
      <w:r w:rsidRPr="001E542C">
        <w:rPr>
          <w:rFonts w:hAnsi="宋体" w:cs="宋体" w:hint="eastAsia"/>
        </w:rPr>
        <w:t>本报告的版权归本公司所有。本公司对本报告保留一切权利，未经本公司书面许可，任何机构和个人不得以任何形式翻版、复制和发布。如引用、刊发，需注明出处为申银万国期货，且不得对本报告进行有悖原意的引用、删节和修改。</w:t>
      </w:r>
    </w:p>
    <w:p w:rsidR="001E542C" w:rsidRDefault="001E542C" w:rsidP="001E542C">
      <w:pPr>
        <w:pStyle w:val="a3"/>
        <w:rPr>
          <w:rFonts w:hAnsi="宋体" w:cs="宋体"/>
        </w:rPr>
      </w:pPr>
      <w:r w:rsidRPr="001E542C">
        <w:rPr>
          <w:rFonts w:hAnsi="宋体" w:cs="宋体" w:hint="eastAsia"/>
        </w:rPr>
        <w:t xml:space="preserve"> </w:t>
      </w:r>
    </w:p>
    <w:sectPr w:rsidR="001E542C" w:rsidSect="000D275A">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98" w:rsidRDefault="00EE4798" w:rsidP="00524AEA">
      <w:r>
        <w:separator/>
      </w:r>
    </w:p>
  </w:endnote>
  <w:endnote w:type="continuationSeparator" w:id="0">
    <w:p w:rsidR="00EE4798" w:rsidRDefault="00EE4798" w:rsidP="0052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98" w:rsidRDefault="00EE4798" w:rsidP="00524AEA">
      <w:r>
        <w:separator/>
      </w:r>
    </w:p>
  </w:footnote>
  <w:footnote w:type="continuationSeparator" w:id="0">
    <w:p w:rsidR="00EE4798" w:rsidRDefault="00EE4798" w:rsidP="0052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F6"/>
    <w:rsid w:val="00011210"/>
    <w:rsid w:val="00016D73"/>
    <w:rsid w:val="00033BB8"/>
    <w:rsid w:val="000559F6"/>
    <w:rsid w:val="00062DAD"/>
    <w:rsid w:val="00071554"/>
    <w:rsid w:val="000835F9"/>
    <w:rsid w:val="0009171C"/>
    <w:rsid w:val="000A3DD3"/>
    <w:rsid w:val="000C3730"/>
    <w:rsid w:val="001045AA"/>
    <w:rsid w:val="00123207"/>
    <w:rsid w:val="001238BF"/>
    <w:rsid w:val="00127C6B"/>
    <w:rsid w:val="00131030"/>
    <w:rsid w:val="00132201"/>
    <w:rsid w:val="001658B8"/>
    <w:rsid w:val="001A2A28"/>
    <w:rsid w:val="001B7A9A"/>
    <w:rsid w:val="001C2C67"/>
    <w:rsid w:val="001E542C"/>
    <w:rsid w:val="001F4510"/>
    <w:rsid w:val="002138A2"/>
    <w:rsid w:val="002348D6"/>
    <w:rsid w:val="00273D2D"/>
    <w:rsid w:val="002752F9"/>
    <w:rsid w:val="00307D07"/>
    <w:rsid w:val="00320BBA"/>
    <w:rsid w:val="003301BC"/>
    <w:rsid w:val="00362722"/>
    <w:rsid w:val="003677C0"/>
    <w:rsid w:val="00371F53"/>
    <w:rsid w:val="003738A8"/>
    <w:rsid w:val="00374696"/>
    <w:rsid w:val="003937DE"/>
    <w:rsid w:val="003A2BFD"/>
    <w:rsid w:val="003F0841"/>
    <w:rsid w:val="00404426"/>
    <w:rsid w:val="004472BA"/>
    <w:rsid w:val="00472C09"/>
    <w:rsid w:val="00474D2B"/>
    <w:rsid w:val="004C2F92"/>
    <w:rsid w:val="004F25CD"/>
    <w:rsid w:val="00504DBF"/>
    <w:rsid w:val="00505F9B"/>
    <w:rsid w:val="00524AEA"/>
    <w:rsid w:val="0052547F"/>
    <w:rsid w:val="00530201"/>
    <w:rsid w:val="00540F05"/>
    <w:rsid w:val="0059432D"/>
    <w:rsid w:val="00595CD5"/>
    <w:rsid w:val="00596FA1"/>
    <w:rsid w:val="005E646A"/>
    <w:rsid w:val="00643B75"/>
    <w:rsid w:val="00656E8C"/>
    <w:rsid w:val="00664C01"/>
    <w:rsid w:val="006B7F23"/>
    <w:rsid w:val="00706712"/>
    <w:rsid w:val="00741266"/>
    <w:rsid w:val="00742FAB"/>
    <w:rsid w:val="00775768"/>
    <w:rsid w:val="007805BE"/>
    <w:rsid w:val="00787B1F"/>
    <w:rsid w:val="00792676"/>
    <w:rsid w:val="007A6B76"/>
    <w:rsid w:val="007D6344"/>
    <w:rsid w:val="007E5994"/>
    <w:rsid w:val="007E6B55"/>
    <w:rsid w:val="007E7FB0"/>
    <w:rsid w:val="00813F03"/>
    <w:rsid w:val="0081656E"/>
    <w:rsid w:val="00817258"/>
    <w:rsid w:val="0082658F"/>
    <w:rsid w:val="008366A5"/>
    <w:rsid w:val="008475B2"/>
    <w:rsid w:val="00876972"/>
    <w:rsid w:val="00877615"/>
    <w:rsid w:val="00886158"/>
    <w:rsid w:val="008B1BAB"/>
    <w:rsid w:val="008E258B"/>
    <w:rsid w:val="00965635"/>
    <w:rsid w:val="009744A6"/>
    <w:rsid w:val="009945DE"/>
    <w:rsid w:val="009B4568"/>
    <w:rsid w:val="009C4DC7"/>
    <w:rsid w:val="009E7FDA"/>
    <w:rsid w:val="009F341F"/>
    <w:rsid w:val="009F7575"/>
    <w:rsid w:val="00A14FED"/>
    <w:rsid w:val="00A74674"/>
    <w:rsid w:val="00AC0F1A"/>
    <w:rsid w:val="00AE425F"/>
    <w:rsid w:val="00B31A7A"/>
    <w:rsid w:val="00B72B2C"/>
    <w:rsid w:val="00B74BD8"/>
    <w:rsid w:val="00B82917"/>
    <w:rsid w:val="00B82CF7"/>
    <w:rsid w:val="00B928A0"/>
    <w:rsid w:val="00BB0C1A"/>
    <w:rsid w:val="00C039F8"/>
    <w:rsid w:val="00C0703D"/>
    <w:rsid w:val="00C07142"/>
    <w:rsid w:val="00C17AE5"/>
    <w:rsid w:val="00C332A7"/>
    <w:rsid w:val="00C55DB0"/>
    <w:rsid w:val="00C8470C"/>
    <w:rsid w:val="00C85446"/>
    <w:rsid w:val="00C91973"/>
    <w:rsid w:val="00C945A0"/>
    <w:rsid w:val="00D53590"/>
    <w:rsid w:val="00D53691"/>
    <w:rsid w:val="00DB7944"/>
    <w:rsid w:val="00DC2622"/>
    <w:rsid w:val="00DF001C"/>
    <w:rsid w:val="00DF236B"/>
    <w:rsid w:val="00E01786"/>
    <w:rsid w:val="00E441DE"/>
    <w:rsid w:val="00E520F9"/>
    <w:rsid w:val="00E6239A"/>
    <w:rsid w:val="00E72FD2"/>
    <w:rsid w:val="00E90208"/>
    <w:rsid w:val="00E96F6C"/>
    <w:rsid w:val="00EB6519"/>
    <w:rsid w:val="00ED056B"/>
    <w:rsid w:val="00ED3016"/>
    <w:rsid w:val="00ED6B05"/>
    <w:rsid w:val="00EE4798"/>
    <w:rsid w:val="00F02307"/>
    <w:rsid w:val="00F42DBA"/>
    <w:rsid w:val="00F7264E"/>
    <w:rsid w:val="00FC67E6"/>
    <w:rsid w:val="00F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1E4E7-0AC2-42FD-B28B-1B0ADB0D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D275A"/>
    <w:rPr>
      <w:rFonts w:ascii="宋体" w:eastAsia="宋体" w:hAnsi="Courier New" w:cs="Courier New"/>
      <w:szCs w:val="21"/>
    </w:rPr>
  </w:style>
  <w:style w:type="character" w:customStyle="1" w:styleId="Char">
    <w:name w:val="纯文本 Char"/>
    <w:basedOn w:val="a0"/>
    <w:link w:val="a3"/>
    <w:uiPriority w:val="99"/>
    <w:rsid w:val="000D275A"/>
    <w:rPr>
      <w:rFonts w:ascii="宋体" w:eastAsia="宋体" w:hAnsi="Courier New" w:cs="Courier New"/>
      <w:szCs w:val="21"/>
    </w:rPr>
  </w:style>
  <w:style w:type="paragraph" w:styleId="a4">
    <w:name w:val="header"/>
    <w:basedOn w:val="a"/>
    <w:link w:val="Char0"/>
    <w:uiPriority w:val="99"/>
    <w:unhideWhenUsed/>
    <w:rsid w:val="00524A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24AEA"/>
    <w:rPr>
      <w:sz w:val="18"/>
      <w:szCs w:val="18"/>
    </w:rPr>
  </w:style>
  <w:style w:type="paragraph" w:styleId="a5">
    <w:name w:val="footer"/>
    <w:basedOn w:val="a"/>
    <w:link w:val="Char1"/>
    <w:uiPriority w:val="99"/>
    <w:unhideWhenUsed/>
    <w:rsid w:val="00524AEA"/>
    <w:pPr>
      <w:tabs>
        <w:tab w:val="center" w:pos="4153"/>
        <w:tab w:val="right" w:pos="8306"/>
      </w:tabs>
      <w:snapToGrid w:val="0"/>
      <w:jc w:val="left"/>
    </w:pPr>
    <w:rPr>
      <w:sz w:val="18"/>
      <w:szCs w:val="18"/>
    </w:rPr>
  </w:style>
  <w:style w:type="character" w:customStyle="1" w:styleId="Char1">
    <w:name w:val="页脚 Char"/>
    <w:basedOn w:val="a0"/>
    <w:link w:val="a5"/>
    <w:uiPriority w:val="99"/>
    <w:rsid w:val="00524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665</Words>
  <Characters>3795</Characters>
  <Application>Microsoft Office Word</Application>
  <DocSecurity>0</DocSecurity>
  <Lines>31</Lines>
  <Paragraphs>8</Paragraphs>
  <ScaleCrop>false</ScaleCrop>
  <Company>Microsoft</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2021-03-26T00:31:00Z</dcterms:created>
  <dcterms:modified xsi:type="dcterms:W3CDTF">2021-04-14T01:14:00Z</dcterms:modified>
</cp:coreProperties>
</file>